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Аннотация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 рабочей программе профессионального модуля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ПМ.01 Контроль и качество продукции на каждой стадии производственного процесса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eastAsia="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 xml:space="preserve">27.02.07 </w:t>
      </w:r>
      <w:r>
        <w:rPr>
          <w:rFonts w:eastAsia="" w:ascii="Times New Roman" w:hAnsi="Times New Roman" w:eastAsiaTheme="minorEastAsia"/>
          <w:b/>
          <w:color w:val="000000"/>
          <w:sz w:val="28"/>
          <w:szCs w:val="28"/>
          <w:lang w:eastAsia="ru-RU"/>
        </w:rPr>
        <w:t>Управление качеством продукции, процессов и услуг (по отраслям)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Рабочая программа профессионального модуля «ПМ.01 Контроль качества продукции на каждой стадии производственного процесса»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27.02.07 «Управление качеством продукции, процессов и услуг (по отраслям)», утверждённого приказом Министерства образования и науки Российской Федерации от 9 декабря 2016 года № 1557, примерной основной образовательной программы по профессии/специальности 27.02.07 «Управление качеством продукции, процессов и услуг (по отраслям)» (рег.№ 27.02.07-170601, дата включения в реестр 01.06.2017).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«Контролировать качество продукции на каждой стадии производственного процесса» и соответствующие ему общие компетенции и профессиональные компетенции: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Перечень общих компетенций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7"/>
        <w:gridCol w:w="8343"/>
      </w:tblGrid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ОК 01.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ОК 02.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numPr>
                <w:ilvl w:val="1"/>
                <w:numId w:val="2"/>
              </w:numPr>
              <w:spacing w:before="0" w:after="0"/>
              <w:jc w:val="both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ЛР 1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Осознающий себя гражданином и защитником великой страны.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ЛР 16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ЛР 17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ЛР 18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ЛР 19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rPr/>
            </w:pPr>
            <w:r>
              <w:rPr>
                <w:rStyle w:val="Style10"/>
                <w:b w:val="false"/>
                <w:i w:val="false"/>
                <w:iCs w:val="false"/>
                <w:lang w:val="ru-RU"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средств.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 xml:space="preserve">Перечень профессиональных компетенций 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4"/>
        <w:gridCol w:w="8366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Контролировать качество продукции на каждой стадии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производственного процесса</w:t>
            </w:r>
          </w:p>
        </w:tc>
      </w:tr>
      <w:tr>
        <w:trPr>
          <w:trHeight w:val="735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условий;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условий;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Оценивать соответствие готовой продукции, условий ее хранения и транспортировки требованиям нормативных документов и технических условий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Количество часов, отводимое на освоение профессионального модуля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Всего часов 450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том числе в форме практической подготовки 180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Из них на освоение МДК.01.01 200 часов, МДК.01.02 70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в том числе самостоятельная работа 14 часов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практики, в том числе учебная 36 часов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производственная 144 часа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Промежуточная аттестация: МДК.01.01 - дифференцированный зачет в 6 семестре, МДК.01.02 - дифференцированный зачет в 6 семестре, ПМ экзамен в 6 семестре (6 часов).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Структура профессионального модуля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ПМ.01Контроль и качество продукции на каждой стадии производственного процесса</w:t>
      </w:r>
    </w:p>
    <w:p>
      <w:pPr>
        <w:pStyle w:val="Normal"/>
        <w:shd w:val="clear" w:color="auto" w:fill="FFFFFF"/>
        <w:spacing w:lineRule="atLeast" w:line="315" w:before="0" w:after="100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Раздел 1. Порядок проведения оценки качества продукции на каждой стадии производственного процесса</w:t>
      </w:r>
    </w:p>
    <w:p>
      <w:pPr>
        <w:pStyle w:val="Normal"/>
        <w:shd w:val="clear" w:color="auto" w:fill="FFFFFF"/>
        <w:spacing w:lineRule="atLeast" w:line="315" w:before="0" w:after="100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Раздел 2. Система менеджмента качества</w:t>
      </w:r>
    </w:p>
    <w:p>
      <w:pPr>
        <w:pStyle w:val="Normal"/>
        <w:shd w:val="clear" w:color="auto" w:fill="FFFFFF"/>
        <w:spacing w:lineRule="atLeast" w:line="315" w:before="0" w:after="100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УП.01.01 Учебная практика</w:t>
      </w:r>
    </w:p>
    <w:p>
      <w:pPr>
        <w:pStyle w:val="Normal"/>
        <w:shd w:val="clear" w:color="auto" w:fill="FFFFFF"/>
        <w:spacing w:lineRule="atLeast" w:line="315" w:before="0" w:after="100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ПП.01.01 Производственная практика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Периодичность и формы текущего контроля и промежуточной аттестации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МДК.01.01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Порядок проведения оценки качества продукции на каждой стадии производственного процесса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— дифференцированный зачет в 6 семестре,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МДК. 01.02 Система менеджмента качества - дифференцированный зачет в 6 семестре,</w:t>
        <w:br/>
        <w:t>УП.01.01 Учебная практика - дифференцированный зачет в 6 семестре,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ПП.01.01 Производственная практика - дифференцированный зачет в 6 семестре,</w:t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>экзамен по модулю — в 6 семестре.</w:t>
      </w:r>
      <w:bookmarkEnd w:id="1"/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12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587ded"/>
    <w:pPr>
      <w:keepNext w:val="true"/>
      <w:numPr>
        <w:ilvl w:val="0"/>
        <w:numId w:val="1"/>
      </w:numPr>
      <w:suppressAutoHyphens w:val="fals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Normal"/>
    <w:next w:val="Normal"/>
    <w:link w:val="20"/>
    <w:semiHidden/>
    <w:unhideWhenUsed/>
    <w:qFormat/>
    <w:locked/>
    <w:rsid w:val="00587ded"/>
    <w:pPr>
      <w:keepNext w:val="true"/>
      <w:numPr>
        <w:ilvl w:val="1"/>
        <w:numId w:val="1"/>
      </w:numPr>
      <w:suppressAutoHyphens w:val="fals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Normal"/>
    <w:next w:val="Normal"/>
    <w:link w:val="30"/>
    <w:semiHidden/>
    <w:unhideWhenUsed/>
    <w:qFormat/>
    <w:locked/>
    <w:rsid w:val="00587ded"/>
    <w:pPr>
      <w:keepNext w:val="true"/>
      <w:numPr>
        <w:ilvl w:val="2"/>
        <w:numId w:val="1"/>
      </w:numPr>
      <w:suppressAutoHyphens w:val="fals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val="x-none" w:eastAsia="zh-CN"/>
    </w:rPr>
  </w:style>
  <w:style w:type="paragraph" w:styleId="4">
    <w:name w:val="Heading 4"/>
    <w:basedOn w:val="3"/>
    <w:next w:val="Normal"/>
    <w:link w:val="40"/>
    <w:semiHidden/>
    <w:unhideWhenUsed/>
    <w:qFormat/>
    <w:locked/>
    <w:rsid w:val="00587ded"/>
    <w:pPr>
      <w:keepLines/>
      <w:numPr>
        <w:ilvl w:val="3"/>
        <w:numId w:val="1"/>
      </w:numPr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87ded"/>
    <w:rPr>
      <w:rFonts w:ascii="Arial" w:hAnsi="Arial" w:eastAsia="Times New Roman" w:cs="Arial"/>
      <w:b/>
      <w:bCs/>
      <w:kern w:val="2"/>
      <w:sz w:val="32"/>
      <w:szCs w:val="32"/>
      <w:lang w:val="x-none" w:eastAsia="zh-CN"/>
    </w:rPr>
  </w:style>
  <w:style w:type="character" w:styleId="21" w:customStyle="1">
    <w:name w:val="Заголовок 2 Знак"/>
    <w:basedOn w:val="DefaultParagraphFont"/>
    <w:link w:val="2"/>
    <w:semiHidden/>
    <w:qFormat/>
    <w:rsid w:val="00587ded"/>
    <w:rPr>
      <w:rFonts w:ascii="Arial" w:hAnsi="Arial" w:eastAsia="Times New Roman" w:cs="Arial"/>
      <w:b/>
      <w:bCs/>
      <w:i/>
      <w:iCs/>
      <w:sz w:val="28"/>
      <w:szCs w:val="28"/>
      <w:lang w:val="x-none" w:eastAsia="zh-CN"/>
    </w:rPr>
  </w:style>
  <w:style w:type="character" w:styleId="31" w:customStyle="1">
    <w:name w:val="Заголовок 3 Знак"/>
    <w:basedOn w:val="DefaultParagraphFont"/>
    <w:link w:val="3"/>
    <w:semiHidden/>
    <w:qFormat/>
    <w:rsid w:val="00587ded"/>
    <w:rPr>
      <w:rFonts w:ascii="Arial" w:hAnsi="Arial" w:eastAsia="Times New Roman" w:cs="Arial"/>
      <w:b/>
      <w:bCs/>
      <w:sz w:val="26"/>
      <w:szCs w:val="26"/>
      <w:lang w:val="x-none" w:eastAsia="zh-CN"/>
    </w:rPr>
  </w:style>
  <w:style w:type="character" w:styleId="41" w:customStyle="1">
    <w:name w:val="Заголовок 4 Знак"/>
    <w:basedOn w:val="DefaultParagraphFont"/>
    <w:link w:val="4"/>
    <w:semiHidden/>
    <w:qFormat/>
    <w:rsid w:val="00587ded"/>
    <w:rPr>
      <w:rFonts w:ascii="Times New Roman" w:hAnsi="Times New Roman" w:eastAsia="Times New Roman"/>
      <w:b/>
      <w:bCs/>
      <w:sz w:val="24"/>
      <w:szCs w:val="24"/>
      <w:lang w:val="x-none" w:eastAsia="zh-CN"/>
    </w:rPr>
  </w:style>
  <w:style w:type="character" w:styleId="Style10">
    <w:name w:val="Выделение"/>
    <w:qFormat/>
    <w:locked/>
    <w:rsid w:val="00587ded"/>
    <w:rPr>
      <w:rFonts w:ascii="Times New Roman" w:hAnsi="Times New Roman" w:cs="Times New Roman"/>
      <w:i/>
      <w:iCs w:val="fals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Обычный1"/>
    <w:qFormat/>
    <w:rsid w:val="006f6b1e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LibreOffice/7.0.0.3$Windows_X86_64 LibreOffice_project/8061b3e9204bef6b321a21033174034a5e2ea88e</Application>
  <Pages>3</Pages>
  <Words>542</Words>
  <Characters>4085</Characters>
  <CharactersWithSpaces>4584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2016-02-04T12:43:00Z</dcterms:created>
  <dc:creator>User</dc:creator>
  <dc:description/>
  <dc:language>ru-RU</dc:language>
  <cp:lastModifiedBy/>
  <cp:lastPrinted>2021-03-12T07:21:00Z</cp:lastPrinted>
  <dcterms:modified xsi:type="dcterms:W3CDTF">2021-10-13T22:35:06Z</dcterms:modified>
  <cp:revision>11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